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324780</wp:posOffset>
                </wp:positionH>
                <wp:positionV relativeFrom="page">
                  <wp:posOffset>10199561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11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30"/>
                                </a:lnTo>
                                <a:lnTo>
                                  <a:pt x="4762" y="6303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25"/>
                                </a:moveTo>
                                <a:lnTo>
                                  <a:pt x="955281" y="25"/>
                                </a:lnTo>
                                <a:lnTo>
                                  <a:pt x="955281" y="63055"/>
                                </a:lnTo>
                                <a:lnTo>
                                  <a:pt x="960043" y="63055"/>
                                </a:lnTo>
                                <a:lnTo>
                                  <a:pt x="96004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4030682" cy="190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36pt;margin-top:803.115051pt;width:317.4pt;height:15pt;mso-position-horizontal-relative:page;mso-position-vertical-relative:page;z-index:15729664" id="docshapegroup1" coordorigin="511,16062" coordsize="6348,300">
                <v:shape style="position:absolute;left:3205;top:16062;width:1512;height:100" id="docshape2" coordorigin="3205,16062" coordsize="1512,100" path="m3213,16062l3205,16062,3205,16162,3213,16162,3213,16062xm4717,16062l4710,16062,4710,16162,4717,16162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6603197</wp:posOffset>
            </wp:positionH>
            <wp:positionV relativeFrom="page">
              <wp:posOffset>10201549</wp:posOffset>
            </wp:positionV>
            <wp:extent cx="621236" cy="18573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3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6495572</wp:posOffset>
                </wp:positionH>
                <wp:positionV relativeFrom="page">
                  <wp:posOffset>10326816</wp:posOffset>
                </wp:positionV>
                <wp:extent cx="5080" cy="635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6"/>
                              </a:moveTo>
                              <a:lnTo>
                                <a:pt x="0" y="63036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813.135193pt;width:.374972pt;height:4.963510pt;mso-position-horizontal-relative:page;mso-position-vertical-relative:page;z-index:15730688" id="docshape4" filled="true" fillcolor="#85868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1732514" cy="83343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14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1"/>
        <w:spacing w:before="100"/>
        <w:ind w:left="114"/>
      </w:pPr>
      <w:bookmarkStart w:name="Jaga Wandeinbau" w:id="1"/>
      <w:bookmarkEnd w:id="1"/>
      <w:r>
        <w:rPr>
          <w:b w:val="0"/>
        </w:rPr>
      </w:r>
      <w:r>
        <w:rPr/>
        <w:t>Jaga</w:t>
      </w:r>
      <w:r>
        <w:rPr>
          <w:spacing w:val="-1"/>
        </w:rPr>
        <w:t> </w:t>
      </w:r>
      <w:r>
        <w:rPr>
          <w:spacing w:val="-2"/>
        </w:rPr>
        <w:t>Wandeinbau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100" w:after="0"/>
        <w:ind w:left="398" w:right="755" w:hanging="285"/>
        <w:jc w:val="left"/>
        <w:rPr>
          <w:sz w:val="20"/>
        </w:rPr>
      </w:pPr>
      <w:bookmarkStart w:name="- Der Wärmetauscher besteht aus runden, " w:id="2"/>
      <w:bookmarkEnd w:id="2"/>
      <w:r>
        <w:rPr/>
      </w: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Wärmetauscher</w:t>
      </w:r>
      <w:r>
        <w:rPr>
          <w:spacing w:val="-3"/>
          <w:sz w:val="20"/>
        </w:rPr>
        <w:t> </w:t>
      </w:r>
      <w:r>
        <w:rPr>
          <w:sz w:val="20"/>
        </w:rPr>
        <w:t>besteht</w:t>
      </w:r>
      <w:r>
        <w:rPr>
          <w:spacing w:val="-2"/>
          <w:sz w:val="20"/>
        </w:rPr>
        <w:t> </w:t>
      </w:r>
      <w:r>
        <w:rPr>
          <w:sz w:val="20"/>
        </w:rPr>
        <w:t>aus</w:t>
      </w:r>
      <w:r>
        <w:rPr>
          <w:spacing w:val="-2"/>
          <w:sz w:val="20"/>
        </w:rPr>
        <w:t> </w:t>
      </w:r>
      <w:r>
        <w:rPr>
          <w:sz w:val="20"/>
        </w:rPr>
        <w:t>runden,</w:t>
      </w:r>
      <w:r>
        <w:rPr>
          <w:spacing w:val="-2"/>
          <w:sz w:val="20"/>
        </w:rPr>
        <w:t> </w:t>
      </w:r>
      <w:r>
        <w:rPr>
          <w:sz w:val="20"/>
        </w:rPr>
        <w:t>nahtlosen</w:t>
      </w:r>
      <w:r>
        <w:rPr>
          <w:spacing w:val="-4"/>
          <w:sz w:val="20"/>
        </w:rPr>
        <w:t> </w:t>
      </w:r>
      <w:r>
        <w:rPr>
          <w:sz w:val="20"/>
        </w:rPr>
        <w:t>Umwälzröhren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2"/>
          <w:sz w:val="20"/>
        </w:rPr>
        <w:t> </w:t>
      </w:r>
      <w:r>
        <w:rPr>
          <w:sz w:val="20"/>
        </w:rPr>
        <w:t>reinem</w:t>
      </w:r>
      <w:r>
        <w:rPr>
          <w:spacing w:val="-4"/>
          <w:sz w:val="20"/>
        </w:rPr>
        <w:t> </w:t>
      </w:r>
      <w:r>
        <w:rPr>
          <w:sz w:val="20"/>
        </w:rPr>
        <w:t>roten</w:t>
      </w:r>
      <w:r>
        <w:rPr>
          <w:spacing w:val="-3"/>
          <w:sz w:val="20"/>
        </w:rPr>
        <w:t> </w:t>
      </w:r>
      <w:r>
        <w:rPr>
          <w:sz w:val="20"/>
        </w:rPr>
        <w:t>Kupfer,</w:t>
      </w:r>
      <w:r>
        <w:rPr>
          <w:spacing w:val="-3"/>
          <w:sz w:val="20"/>
        </w:rPr>
        <w:t> </w:t>
      </w:r>
      <w:r>
        <w:rPr>
          <w:sz w:val="20"/>
        </w:rPr>
        <w:t>Lamellen</w:t>
      </w:r>
      <w:r>
        <w:rPr>
          <w:spacing w:val="-3"/>
          <w:sz w:val="20"/>
        </w:rPr>
        <w:t> </w:t>
      </w:r>
      <w:r>
        <w:rPr>
          <w:sz w:val="20"/>
        </w:rPr>
        <w:t>aus reinem Aluminium und 2 Messingkollektoren für einseitigen Anschluss 1/2” (links oder rechts). Inklusive Entlüfter 1/8” und Ablassstopfen 1/2”.</w:t>
      </w:r>
    </w:p>
    <w:p>
      <w:pPr>
        <w:pStyle w:val="BodyText"/>
        <w:spacing w:before="99"/>
        <w:ind w:left="398" w:right="5796"/>
      </w:pPr>
      <w:bookmarkStart w:name="Testdruck Wärmetauscher: 20 bar." w:id="3"/>
      <w:bookmarkEnd w:id="3"/>
      <w:r>
        <w:rPr/>
      </w:r>
      <w:bookmarkStart w:name="Betriebsdruck: 10 bar." w:id="4"/>
      <w:bookmarkEnd w:id="4"/>
      <w:r>
        <w:rPr/>
      </w:r>
      <w:r>
        <w:rPr/>
        <w:t>Testdruck</w:t>
      </w:r>
      <w:r>
        <w:rPr>
          <w:spacing w:val="-9"/>
        </w:rPr>
        <w:t> </w:t>
      </w:r>
      <w:r>
        <w:rPr/>
        <w:t>Wärmetauscher:</w:t>
      </w:r>
      <w:r>
        <w:rPr>
          <w:spacing w:val="-10"/>
        </w:rPr>
        <w:t> </w:t>
      </w:r>
      <w:r>
        <w:rPr/>
        <w:t>20</w:t>
      </w:r>
      <w:r>
        <w:rPr>
          <w:spacing w:val="-9"/>
        </w:rPr>
        <w:t> </w:t>
      </w:r>
      <w:r>
        <w:rPr/>
        <w:t>bar. Betriebsdruck: 10 bar.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99" w:after="0"/>
        <w:ind w:left="398" w:right="868" w:hanging="285"/>
        <w:jc w:val="left"/>
        <w:rPr>
          <w:sz w:val="20"/>
        </w:rPr>
      </w:pPr>
      <w:bookmarkStart w:name="- Konsolen aus elektrolytisch verzinktem" w:id="5"/>
      <w:bookmarkEnd w:id="5"/>
      <w:r>
        <w:rPr/>
      </w:r>
      <w:r>
        <w:rPr>
          <w:sz w:val="20"/>
        </w:rPr>
        <w:t>Konsolen</w:t>
      </w:r>
      <w:r>
        <w:rPr>
          <w:spacing w:val="-2"/>
          <w:sz w:val="20"/>
        </w:rPr>
        <w:t> </w:t>
      </w:r>
      <w:r>
        <w:rPr>
          <w:sz w:val="20"/>
        </w:rPr>
        <w:t>aus</w:t>
      </w:r>
      <w:r>
        <w:rPr>
          <w:spacing w:val="-3"/>
          <w:sz w:val="20"/>
        </w:rPr>
        <w:t> </w:t>
      </w:r>
      <w:r>
        <w:rPr>
          <w:sz w:val="20"/>
        </w:rPr>
        <w:t>elektrolytisch</w:t>
      </w:r>
      <w:r>
        <w:rPr>
          <w:spacing w:val="-3"/>
          <w:sz w:val="20"/>
        </w:rPr>
        <w:t> </w:t>
      </w:r>
      <w:r>
        <w:rPr>
          <w:sz w:val="20"/>
        </w:rPr>
        <w:t>verzinktem</w:t>
      </w:r>
      <w:r>
        <w:rPr>
          <w:spacing w:val="-2"/>
          <w:sz w:val="20"/>
        </w:rPr>
        <w:t> </w:t>
      </w:r>
      <w:r>
        <w:rPr>
          <w:sz w:val="20"/>
        </w:rPr>
        <w:t>Stahlblech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3"/>
          <w:sz w:val="20"/>
        </w:rPr>
        <w:t> </w:t>
      </w:r>
      <w:r>
        <w:rPr>
          <w:sz w:val="20"/>
        </w:rPr>
        <w:t>einer</w:t>
      </w:r>
      <w:r>
        <w:rPr>
          <w:spacing w:val="-2"/>
          <w:sz w:val="20"/>
        </w:rPr>
        <w:t> </w:t>
      </w:r>
      <w:r>
        <w:rPr>
          <w:sz w:val="20"/>
        </w:rPr>
        <w:t>Stärke</w:t>
      </w:r>
      <w:r>
        <w:rPr>
          <w:spacing w:val="-2"/>
          <w:sz w:val="20"/>
        </w:rPr>
        <w:t> </w:t>
      </w:r>
      <w:r>
        <w:rPr>
          <w:sz w:val="20"/>
        </w:rPr>
        <w:t>von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mm,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2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einem</w:t>
      </w:r>
      <w:r>
        <w:rPr>
          <w:spacing w:val="-2"/>
          <w:sz w:val="20"/>
        </w:rPr>
        <w:t> </w:t>
      </w:r>
      <w:r>
        <w:rPr>
          <w:sz w:val="20"/>
        </w:rPr>
        <w:t>maximalen Zwischenabstand von 1.05 m.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982" w:hanging="285"/>
        <w:jc w:val="left"/>
        <w:rPr>
          <w:sz w:val="20"/>
        </w:rPr>
      </w:pPr>
      <w:bookmarkStart w:name="- Trennwand (nicht geeignet als endgülti" w:id="6"/>
      <w:bookmarkEnd w:id="6"/>
      <w:r>
        <w:rPr/>
      </w:r>
      <w:r>
        <w:rPr>
          <w:sz w:val="20"/>
        </w:rPr>
        <w:t>Trennwand</w:t>
      </w:r>
      <w:r>
        <w:rPr>
          <w:spacing w:val="-4"/>
          <w:sz w:val="20"/>
        </w:rPr>
        <w:t> </w:t>
      </w:r>
      <w:r>
        <w:rPr>
          <w:sz w:val="20"/>
        </w:rPr>
        <w:t>(nicht</w:t>
      </w:r>
      <w:r>
        <w:rPr>
          <w:spacing w:val="-3"/>
          <w:sz w:val="20"/>
        </w:rPr>
        <w:t> </w:t>
      </w:r>
      <w:r>
        <w:rPr>
          <w:sz w:val="20"/>
        </w:rPr>
        <w:t>geeignet</w:t>
      </w:r>
      <w:r>
        <w:rPr>
          <w:spacing w:val="-3"/>
          <w:sz w:val="20"/>
        </w:rPr>
        <w:t> </w:t>
      </w:r>
      <w:r>
        <w:rPr>
          <w:sz w:val="20"/>
        </w:rPr>
        <w:t>als</w:t>
      </w:r>
      <w:r>
        <w:rPr>
          <w:spacing w:val="-3"/>
          <w:sz w:val="20"/>
        </w:rPr>
        <w:t> </w:t>
      </w:r>
      <w:r>
        <w:rPr>
          <w:sz w:val="20"/>
        </w:rPr>
        <w:t>endgültige</w:t>
      </w:r>
      <w:r>
        <w:rPr>
          <w:spacing w:val="-3"/>
          <w:sz w:val="20"/>
        </w:rPr>
        <w:t> </w:t>
      </w:r>
      <w:r>
        <w:rPr>
          <w:sz w:val="20"/>
        </w:rPr>
        <w:t>Verkleidung):</w:t>
      </w:r>
      <w:r>
        <w:rPr>
          <w:spacing w:val="-4"/>
          <w:sz w:val="20"/>
        </w:rPr>
        <w:t> </w:t>
      </w:r>
      <w:r>
        <w:rPr>
          <w:sz w:val="20"/>
        </w:rPr>
        <w:t>Doppelt</w:t>
      </w:r>
      <w:r>
        <w:rPr>
          <w:spacing w:val="-3"/>
          <w:sz w:val="20"/>
        </w:rPr>
        <w:t> </w:t>
      </w:r>
      <w:r>
        <w:rPr>
          <w:sz w:val="20"/>
        </w:rPr>
        <w:t>profilierte,</w:t>
      </w:r>
      <w:r>
        <w:rPr>
          <w:spacing w:val="-4"/>
          <w:sz w:val="20"/>
        </w:rPr>
        <w:t> </w:t>
      </w:r>
      <w:r>
        <w:rPr>
          <w:sz w:val="20"/>
        </w:rPr>
        <w:t>elektrolytisch</w:t>
      </w:r>
      <w:r>
        <w:rPr>
          <w:spacing w:val="-4"/>
          <w:sz w:val="20"/>
        </w:rPr>
        <w:t> </w:t>
      </w:r>
      <w:r>
        <w:rPr>
          <w:sz w:val="20"/>
        </w:rPr>
        <w:t>verzinkte</w:t>
      </w:r>
      <w:r>
        <w:rPr>
          <w:spacing w:val="-3"/>
          <w:sz w:val="20"/>
        </w:rPr>
        <w:t> </w:t>
      </w:r>
      <w:r>
        <w:rPr>
          <w:sz w:val="20"/>
        </w:rPr>
        <w:t>und dunkelgrau</w:t>
      </w:r>
      <w:r>
        <w:rPr>
          <w:spacing w:val="-1"/>
          <w:sz w:val="20"/>
        </w:rPr>
        <w:t> </w:t>
      </w:r>
      <w:r>
        <w:rPr>
          <w:sz w:val="20"/>
        </w:rPr>
        <w:t>lackierte Stahlbleche von</w:t>
      </w:r>
      <w:r>
        <w:rPr>
          <w:spacing w:val="-1"/>
          <w:sz w:val="20"/>
        </w:rPr>
        <w:t> </w:t>
      </w:r>
      <w:r>
        <w:rPr>
          <w:sz w:val="20"/>
        </w:rPr>
        <w:t>0.7</w:t>
      </w:r>
      <w:r>
        <w:rPr>
          <w:spacing w:val="-2"/>
          <w:sz w:val="20"/>
        </w:rPr>
        <w:t> </w:t>
      </w:r>
      <w:r>
        <w:rPr>
          <w:sz w:val="20"/>
        </w:rPr>
        <w:t>mm</w:t>
      </w:r>
      <w:r>
        <w:rPr>
          <w:spacing w:val="-1"/>
          <w:sz w:val="20"/>
        </w:rPr>
        <w:t> </w:t>
      </w:r>
      <w:r>
        <w:rPr>
          <w:sz w:val="20"/>
        </w:rPr>
        <w:t>Stärke.</w:t>
      </w:r>
      <w:r>
        <w:rPr>
          <w:spacing w:val="-1"/>
          <w:sz w:val="20"/>
        </w:rPr>
        <w:t> </w:t>
      </w:r>
      <w:r>
        <w:rPr>
          <w:sz w:val="20"/>
        </w:rPr>
        <w:t>Zu</w:t>
      </w:r>
      <w:r>
        <w:rPr>
          <w:spacing w:val="-1"/>
          <w:sz w:val="20"/>
        </w:rPr>
        <w:t> </w:t>
      </w:r>
      <w:r>
        <w:rPr>
          <w:sz w:val="20"/>
        </w:rPr>
        <w:t>befestigen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herausragenden</w:t>
      </w:r>
      <w:r>
        <w:rPr>
          <w:spacing w:val="-1"/>
          <w:sz w:val="20"/>
        </w:rPr>
        <w:t> </w:t>
      </w:r>
      <w:r>
        <w:rPr>
          <w:sz w:val="20"/>
        </w:rPr>
        <w:t>Lippen</w:t>
      </w:r>
      <w:r>
        <w:rPr>
          <w:spacing w:val="-1"/>
          <w:sz w:val="20"/>
        </w:rPr>
        <w:t> </w:t>
      </w:r>
      <w:r>
        <w:rPr>
          <w:sz w:val="20"/>
        </w:rPr>
        <w:t>der Konsolen. Die Trennwand soll möglichst nah an das Rost anschließen und dient als Träger für eine bauseitige Verkleidung.</w:t>
      </w:r>
    </w:p>
    <w:p>
      <w:pPr>
        <w:pStyle w:val="BodyText"/>
      </w:pPr>
    </w:p>
    <w:p>
      <w:pPr>
        <w:pStyle w:val="Heading1"/>
      </w:pPr>
      <w:bookmarkStart w:name="Farbe:" w:id="7"/>
      <w:bookmarkEnd w:id="7"/>
      <w:r>
        <w:rPr>
          <w:b w:val="0"/>
        </w:rPr>
      </w:r>
      <w:bookmarkStart w:name="Der Wärmetauscher ist elektrostatisch mi" w:id="8"/>
      <w:bookmarkEnd w:id="8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ind w:left="113" w:right="325"/>
      </w:pPr>
      <w:r>
        <w:rPr/>
        <w:t>Der</w:t>
      </w:r>
      <w:r>
        <w:rPr>
          <w:spacing w:val="-3"/>
        </w:rPr>
        <w:t> </w:t>
      </w:r>
      <w:r>
        <w:rPr/>
        <w:t>Wärmetauscher</w:t>
      </w:r>
      <w:r>
        <w:rPr>
          <w:spacing w:val="-3"/>
        </w:rPr>
        <w:t> </w:t>
      </w:r>
      <w:r>
        <w:rPr/>
        <w:t>ist</w:t>
      </w:r>
      <w:r>
        <w:rPr>
          <w:spacing w:val="-2"/>
        </w:rPr>
        <w:t> </w:t>
      </w:r>
      <w:r>
        <w:rPr/>
        <w:t>elektrostatisch</w:t>
      </w:r>
      <w:r>
        <w:rPr>
          <w:spacing w:val="-4"/>
        </w:rPr>
        <w:t> </w:t>
      </w:r>
      <w:r>
        <w:rPr/>
        <w:t>mit</w:t>
      </w:r>
      <w:r>
        <w:rPr>
          <w:spacing w:val="-2"/>
        </w:rPr>
        <w:t> </w:t>
      </w:r>
      <w:r>
        <w:rPr/>
        <w:t>anthrazitgrauem</w:t>
      </w:r>
      <w:r>
        <w:rPr>
          <w:spacing w:val="-3"/>
        </w:rPr>
        <w:t> </w:t>
      </w:r>
      <w:r>
        <w:rPr/>
        <w:t>Polyesterpulver</w:t>
      </w:r>
      <w:r>
        <w:rPr>
          <w:spacing w:val="-3"/>
        </w:rPr>
        <w:t> </w:t>
      </w:r>
      <w:r>
        <w:rPr/>
        <w:t>RAL</w:t>
      </w:r>
      <w:r>
        <w:rPr>
          <w:spacing w:val="-4"/>
        </w:rPr>
        <w:t> </w:t>
      </w:r>
      <w:r>
        <w:rPr/>
        <w:t>7024,</w:t>
      </w:r>
      <w:r>
        <w:rPr>
          <w:spacing w:val="-2"/>
        </w:rPr>
        <w:t> </w:t>
      </w:r>
      <w:r>
        <w:rPr/>
        <w:t>Glanzgrad</w:t>
      </w:r>
      <w:r>
        <w:rPr>
          <w:spacing w:val="-3"/>
        </w:rPr>
        <w:t> </w:t>
      </w:r>
      <w:r>
        <w:rPr/>
        <w:t>70%, </w:t>
      </w:r>
      <w:r>
        <w:rPr>
          <w:spacing w:val="-2"/>
        </w:rPr>
        <w:t>beschichtet.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3"/>
      </w:pPr>
      <w:bookmarkStart w:name="Wärmeleistungen nach EN 442." w:id="9"/>
      <w:bookmarkEnd w:id="9"/>
      <w:r>
        <w:rPr/>
      </w:r>
      <w:r>
        <w:rPr/>
        <w:t>Wärmeleistungen</w:t>
      </w:r>
      <w:r>
        <w:rPr>
          <w:spacing w:val="-6"/>
        </w:rPr>
        <w:t> </w:t>
      </w:r>
      <w:r>
        <w:rPr/>
        <w:t>nach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4"/>
        </w:rPr>
        <w:t>442.</w:t>
      </w:r>
    </w:p>
    <w:p>
      <w:pPr>
        <w:pStyle w:val="BodyText"/>
        <w:spacing w:before="1"/>
      </w:pPr>
    </w:p>
    <w:p>
      <w:pPr>
        <w:pStyle w:val="Heading1"/>
      </w:pPr>
      <w:bookmarkStart w:name="Optionen:" w:id="10"/>
      <w:bookmarkEnd w:id="10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2" w:lineRule="exact" w:before="0" w:after="0"/>
        <w:ind w:left="397" w:right="0" w:hanging="284"/>
        <w:jc w:val="left"/>
        <w:rPr>
          <w:sz w:val="20"/>
        </w:rPr>
      </w:pPr>
      <w:bookmarkStart w:name="- Jaga Low-H2O Ventile und Thermostatköp" w:id="11"/>
      <w:bookmarkEnd w:id="11"/>
      <w:r>
        <w:rPr/>
      </w:r>
      <w:r>
        <w:rPr>
          <w:sz w:val="20"/>
        </w:rPr>
        <w:t>Jaga</w:t>
      </w:r>
      <w:r>
        <w:rPr>
          <w:spacing w:val="-4"/>
          <w:sz w:val="20"/>
        </w:rPr>
        <w:t> </w:t>
      </w:r>
      <w:r>
        <w:rPr>
          <w:sz w:val="20"/>
        </w:rPr>
        <w:t>Low-H2O</w:t>
      </w:r>
      <w:r>
        <w:rPr>
          <w:spacing w:val="-4"/>
          <w:sz w:val="20"/>
        </w:rPr>
        <w:t> </w:t>
      </w:r>
      <w:r>
        <w:rPr>
          <w:sz w:val="20"/>
        </w:rPr>
        <w:t>Ventile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1" w:lineRule="exact" w:before="0" w:after="0"/>
        <w:ind w:left="397" w:right="0" w:hanging="284"/>
        <w:jc w:val="left"/>
        <w:rPr>
          <w:sz w:val="20"/>
        </w:rPr>
      </w:pPr>
      <w:bookmarkStart w:name="- Kupferblech für Heizkostenverteiler." w:id="12"/>
      <w:bookmarkEnd w:id="12"/>
      <w:r>
        <w:rPr/>
      </w:r>
      <w:r>
        <w:rPr>
          <w:sz w:val="20"/>
        </w:rPr>
        <w:t>Kupferblech</w:t>
      </w:r>
      <w:r>
        <w:rPr>
          <w:spacing w:val="-6"/>
          <w:sz w:val="20"/>
        </w:rPr>
        <w:t> </w:t>
      </w:r>
      <w:r>
        <w:rPr>
          <w:sz w:val="20"/>
        </w:rPr>
        <w:t>für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Heizkostenverteiler.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2" w:lineRule="exact" w:before="0" w:after="0"/>
        <w:ind w:left="397" w:right="0" w:hanging="284"/>
        <w:jc w:val="left"/>
        <w:rPr>
          <w:sz w:val="20"/>
        </w:rPr>
      </w:pPr>
      <w:bookmarkStart w:name="- DBH Upgrade set" w:id="13"/>
      <w:bookmarkEnd w:id="13"/>
      <w:r>
        <w:rPr/>
      </w:r>
      <w:r>
        <w:rPr>
          <w:sz w:val="20"/>
        </w:rPr>
        <w:t>DBH</w:t>
      </w:r>
      <w:r>
        <w:rPr>
          <w:spacing w:val="-4"/>
          <w:sz w:val="20"/>
        </w:rPr>
        <w:t> </w:t>
      </w:r>
      <w:r>
        <w:rPr>
          <w:sz w:val="20"/>
        </w:rPr>
        <w:t>Upgrade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set</w:t>
      </w:r>
    </w:p>
    <w:p>
      <w:pPr>
        <w:pStyle w:val="BodyText"/>
        <w:rPr>
          <w:sz w:val="24"/>
        </w:rPr>
      </w:pPr>
    </w:p>
    <w:p>
      <w:pPr>
        <w:spacing w:before="194"/>
        <w:ind w:left="113" w:right="0" w:firstLine="0"/>
        <w:jc w:val="left"/>
        <w:rPr>
          <w:sz w:val="20"/>
        </w:rPr>
      </w:pPr>
      <w:bookmarkStart w:name="Fabrikat: Jaga" w:id="14"/>
      <w:bookmarkEnd w:id="14"/>
      <w:r>
        <w:rPr/>
      </w:r>
      <w:r>
        <w:rPr>
          <w:b/>
          <w:sz w:val="20"/>
        </w:rPr>
        <w:t>Fabrikat: </w:t>
      </w:r>
      <w:r>
        <w:rPr>
          <w:spacing w:val="-4"/>
          <w:sz w:val="20"/>
        </w:rPr>
        <w:t>Jaga</w:t>
      </w:r>
    </w:p>
    <w:p>
      <w:pPr>
        <w:spacing w:before="100"/>
        <w:ind w:left="113" w:right="0" w:firstLine="0"/>
        <w:jc w:val="left"/>
        <w:rPr>
          <w:sz w:val="20"/>
        </w:rPr>
      </w:pPr>
      <w:bookmarkStart w:name="Modell: Jaga Wandeinbau" w:id="15"/>
      <w:bookmarkEnd w:id="15"/>
      <w:r>
        <w:rPr/>
      </w:r>
      <w:r>
        <w:rPr>
          <w:b/>
          <w:sz w:val="20"/>
        </w:rPr>
        <w:t>Modell:</w:t>
      </w:r>
      <w:r>
        <w:rPr>
          <w:b/>
          <w:spacing w:val="-1"/>
          <w:sz w:val="20"/>
        </w:rPr>
        <w:t> </w:t>
      </w:r>
      <w:r>
        <w:rPr>
          <w:sz w:val="20"/>
        </w:rPr>
        <w:t>Jaga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Wandeinbau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209063</wp:posOffset>
            </wp:positionV>
            <wp:extent cx="786223" cy="18573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22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208126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6"/>
                              </a:moveTo>
                              <a:lnTo>
                                <a:pt x="0" y="63036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6.387890pt;width:.374972pt;height:4.963510pt;mso-position-horizontal-relative:page;mso-position-vertical-relative:paragraph;z-index:-15728128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142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8" w:hanging="28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08" w:hanging="28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6" w:hanging="28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24" w:hanging="28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2" w:hanging="28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40" w:hanging="28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48" w:hanging="28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56" w:hanging="28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64" w:hanging="28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97" w:hanging="285"/>
    </w:pPr>
    <w:rPr>
      <w:rFonts w:ascii="Tahoma" w:hAnsi="Tahoma" w:eastAsia="Tahoma" w:cs="Tahom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2023-07-04T08:39:11Z</dcterms:created>
  <dcterms:modified xsi:type="dcterms:W3CDTF">2023-07-04T08:39:11Z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D:20210309114824</vt:lpwstr>
  </property>
</Properties>
</file>