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9CC0" w14:textId="77777777" w:rsidR="00D91C5B" w:rsidRPr="00D91C5B" w:rsidRDefault="00D91C5B" w:rsidP="00D91C5B">
      <w:pPr>
        <w:autoSpaceDE w:val="0"/>
        <w:autoSpaceDN w:val="0"/>
        <w:adjustRightInd w:val="0"/>
        <w:spacing w:after="57" w:line="288" w:lineRule="auto"/>
        <w:jc w:val="right"/>
        <w:textAlignment w:val="center"/>
        <w:rPr>
          <w:rFonts w:ascii="Proxima Nova" w:hAnsi="Proxima Nova" w:cs="Proxima Nova"/>
          <w:color w:val="000000"/>
          <w:kern w:val="0"/>
          <w:sz w:val="20"/>
          <w:szCs w:val="20"/>
          <w:lang w:val="nl-NL"/>
        </w:rPr>
      </w:pPr>
      <w:r w:rsidRPr="00D91C5B">
        <w:rPr>
          <w:rFonts w:ascii="Proxima Nova" w:hAnsi="Proxima Nova" w:cs="Proxima Nova"/>
          <w:color w:val="000000"/>
          <w:kern w:val="0"/>
          <w:sz w:val="20"/>
          <w:szCs w:val="20"/>
          <w:lang w:val="nl-NL"/>
        </w:rPr>
        <w:t>Produktbeschreibung</w:t>
      </w:r>
    </w:p>
    <w:p w14:paraId="576C93B8" w14:textId="5B5AA8F4" w:rsidR="00D91C5B" w:rsidRPr="00D91C5B" w:rsidRDefault="00D91C5B" w:rsidP="00D91C5B">
      <w:pPr>
        <w:pStyle w:val="02Broodtekst"/>
        <w:jc w:val="left"/>
        <w:rPr>
          <w:rStyle w:val="ProximaNova8ptzwart"/>
          <w:rFonts w:asciiTheme="minorHAnsi" w:hAnsiTheme="minorHAnsi" w:cstheme="minorHAnsi"/>
          <w:sz w:val="20"/>
          <w:szCs w:val="20"/>
          <w:lang w:val="nl-NL"/>
        </w:rPr>
      </w:pPr>
      <w:r w:rsidRPr="00D91C5B">
        <w:rPr>
          <w:rStyle w:val="ProximaNova10ptzwart"/>
          <w:rFonts w:asciiTheme="minorHAnsi" w:hAnsiTheme="minorHAnsi" w:cstheme="minorHAnsi"/>
        </w:rPr>
        <w:t>Jaga Clima Beam Promobe</w:t>
      </w:r>
    </w:p>
    <w:p w14:paraId="739EC6FE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  <w:w w:val="94"/>
        </w:rPr>
      </w:pPr>
    </w:p>
    <w:p w14:paraId="2B503A60" w14:textId="7B6BDA33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  <w:w w:val="94"/>
        </w:rPr>
      </w:pPr>
      <w:r w:rsidRPr="00D91C5B">
        <w:rPr>
          <w:rStyle w:val="ProximaNova8ptzwart"/>
          <w:rFonts w:asciiTheme="minorHAnsi" w:hAnsiTheme="minorHAnsi" w:cstheme="minorHAnsi"/>
          <w:w w:val="94"/>
        </w:rPr>
        <w:t>Abmessungen:</w:t>
      </w:r>
    </w:p>
    <w:p w14:paraId="3FDC304B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875 x 575</w:t>
      </w:r>
    </w:p>
    <w:p w14:paraId="7D3588A8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1175 x 575</w:t>
      </w:r>
    </w:p>
    <w:p w14:paraId="09C885F4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1475 x 575</w:t>
      </w:r>
    </w:p>
    <w:p w14:paraId="6CC78AEC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1675 x 575</w:t>
      </w:r>
    </w:p>
    <w:p w14:paraId="3E298329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2275 x 575 mm</w:t>
      </w:r>
    </w:p>
    <w:p w14:paraId="59998672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Jaga Clima Beam Promobe T20:</w:t>
      </w:r>
    </w:p>
    <w:p w14:paraId="71C7B959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Höhe 194 cm</w:t>
      </w:r>
    </w:p>
    <w:p w14:paraId="161E87CA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Wärmetauscher Typ 20</w:t>
      </w:r>
    </w:p>
    <w:p w14:paraId="2C4C1EFC" w14:textId="77777777" w:rsidR="00D91C5B" w:rsidRPr="00D91C5B" w:rsidRDefault="00D91C5B" w:rsidP="00D91C5B">
      <w:pPr>
        <w:pStyle w:val="02Broodtekst"/>
        <w:spacing w:after="57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Lüfterschiene 12VDC mit JDPC Regelplatine</w:t>
      </w:r>
    </w:p>
    <w:p w14:paraId="7F4D71C6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Jaga Clima Beam Promobe T21:</w:t>
      </w:r>
    </w:p>
    <w:p w14:paraId="5912BD07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Höhe 294 cm</w:t>
      </w:r>
    </w:p>
    <w:p w14:paraId="3EEA9860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Wärmetauscher Typ 21</w:t>
      </w:r>
    </w:p>
    <w:p w14:paraId="48E464C1" w14:textId="77777777" w:rsidR="00D91C5B" w:rsidRPr="00D91C5B" w:rsidRDefault="00D91C5B" w:rsidP="00D91C5B">
      <w:pPr>
        <w:pStyle w:val="02Broodtekst"/>
        <w:spacing w:after="57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Lüfterschiene 12VDC mit JDPC Regelplatine</w:t>
      </w:r>
    </w:p>
    <w:p w14:paraId="7CFA1DB2" w14:textId="77777777" w:rsidR="00D91C5B" w:rsidRPr="00D91C5B" w:rsidRDefault="00D91C5B" w:rsidP="00D91C5B">
      <w:pPr>
        <w:pStyle w:val="02Broodtekst"/>
        <w:spacing w:after="57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  <w:u w:val="thick"/>
        </w:rPr>
        <w:t>Hauptteile:</w:t>
      </w:r>
    </w:p>
    <w:p w14:paraId="225230D9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  <w:u w:val="thick"/>
        </w:rPr>
        <w:t>Wärmetauscher:</w:t>
      </w:r>
    </w:p>
    <w:p w14:paraId="4628BFFC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Der Low-H2O Wärmetauscher  besteht aus runden, nahtlosen Umwälzröhren aus reinem roten Kupfer, Lamellen aus reinem Aluminium und 2 Messingkollektoren für einseitigen Anschluss 1/2” (links oder rechts).</w:t>
      </w:r>
    </w:p>
    <w:p w14:paraId="245A0782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Inklusive Winkelentlüfter 1/8” und Ablassstopfen 1/2”.</w:t>
      </w:r>
    </w:p>
    <w:p w14:paraId="2CDEBB5A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Testdruck Wärmetauscher: 20 bar.</w:t>
      </w:r>
    </w:p>
    <w:p w14:paraId="77C63D37" w14:textId="77777777" w:rsidR="00D91C5B" w:rsidRPr="00D91C5B" w:rsidRDefault="00D91C5B" w:rsidP="00D91C5B">
      <w:pPr>
        <w:pStyle w:val="02Broodtekst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Betriebsdruck: 10 bar.</w:t>
      </w:r>
    </w:p>
    <w:p w14:paraId="0B2758CD" w14:textId="77777777" w:rsidR="00D91C5B" w:rsidRPr="00D91C5B" w:rsidRDefault="00D91C5B" w:rsidP="00D91C5B">
      <w:pPr>
        <w:pStyle w:val="02Broodtekst"/>
        <w:spacing w:after="57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Der Wärmetauscher ist elektrostatisch mit anthrazitgrauem Polyesterpulver RAL 7024, Glanzgrad 70%, beschichtet.</w:t>
      </w:r>
    </w:p>
    <w:p w14:paraId="7F8660A6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  <w:u w:val="thick"/>
        </w:rPr>
        <w:t>Vorderpaneel:</w:t>
      </w:r>
      <w:r w:rsidRPr="00D91C5B">
        <w:rPr>
          <w:rStyle w:val="ProximaNova8ptzwart"/>
          <w:rFonts w:asciiTheme="minorHAnsi" w:hAnsiTheme="minorHAnsi" w:cstheme="minorHAnsi"/>
        </w:rPr>
        <w:t xml:space="preserve"> </w:t>
      </w:r>
    </w:p>
    <w:p w14:paraId="6136B8A3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Vorderpaneel aus elektrolytisch verzinktem und zusätzlich gerichtetem Stahlblech mit einer Stärke von 1.25 mm. Perforiert mit rechteckigen Öffnungen (46 x 6 mm) / runden Öffnungen (4 mm) für den Luftein- und -austritt. Standard in den Farben sandstrahlgrau Metalllack oder verkehrsweiß soft touch (RAL 9016) erhältlich. Andere Farben sind gegen Mehrpreis erhältlich (Siehe Jaga Farbkarte).</w:t>
      </w:r>
    </w:p>
    <w:p w14:paraId="0B563AA2" w14:textId="77777777" w:rsidR="00D91C5B" w:rsidRPr="00D91C5B" w:rsidRDefault="00D91C5B" w:rsidP="00D91C5B">
      <w:pPr>
        <w:pStyle w:val="02Broodtekst"/>
        <w:spacing w:after="57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• Beschichtung mit sanft strukturiertem kratzfestem Polyesterpulver, elektrostatisch aufgebracht und bei 200°C einbrennlackiert. UV-beständig nach ASTM G53.</w:t>
      </w:r>
    </w:p>
    <w:p w14:paraId="0613FE2B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  <w:u w:val="thick"/>
        </w:rPr>
        <w:t>Gestell mit Montagepunkten:</w:t>
      </w:r>
    </w:p>
    <w:p w14:paraId="480A7CA1" w14:textId="77777777" w:rsidR="00D91C5B" w:rsidRPr="00D91C5B" w:rsidRDefault="00D91C5B" w:rsidP="00D91C5B">
      <w:pPr>
        <w:pStyle w:val="Normaal"/>
        <w:spacing w:after="57"/>
        <w:jc w:val="both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Gestell aus sendzimirverzinktem Stahlblech mit einer Stärke von 1 mm, mit einer dunkelgrauen Lackschicht lackiert. Mit Befestigungspunkten für direkte oder abgehängte Montage an der Decke. Mit Konsolen für Wärmetauscher und Elektrokomponenten.</w:t>
      </w:r>
    </w:p>
    <w:p w14:paraId="555C117E" w14:textId="77777777" w:rsidR="00D91C5B" w:rsidRPr="00D91C5B" w:rsidRDefault="00D91C5B" w:rsidP="00D91C5B">
      <w:pPr>
        <w:pStyle w:val="02Broodtekst"/>
        <w:spacing w:after="57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  <w:u w:val="thick"/>
        </w:rPr>
        <w:t xml:space="preserve">Jaga Dynamic Product Controller JDPC </w:t>
      </w:r>
    </w:p>
    <w:p w14:paraId="4817E2EB" w14:textId="77777777" w:rsidR="00D91C5B" w:rsidRPr="00D91C5B" w:rsidRDefault="00D91C5B" w:rsidP="00D91C5B">
      <w:pPr>
        <w:pStyle w:val="02Broodtekst"/>
        <w:spacing w:after="57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JDPC Regelplatine zur Ansteuerung der DBE Einheiten. Die Standardansteuerung erfolgt über ein analoges 0-10V Signal einer Gebäudeleittechnik oder eines Raumthermostates.</w:t>
      </w:r>
    </w:p>
    <w:p w14:paraId="57692A89" w14:textId="77777777" w:rsidR="00D91C5B" w:rsidRPr="00D91C5B" w:rsidRDefault="00D91C5B" w:rsidP="00D91C5B">
      <w:pPr>
        <w:pStyle w:val="02Broodtekst"/>
        <w:spacing w:after="57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  <w:u w:val="thick"/>
        </w:rPr>
        <w:t>Stromversorgung 12 VDC:</w:t>
      </w:r>
    </w:p>
    <w:p w14:paraId="7891A973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 xml:space="preserve">Vormontiertes Netzteil, Eingang 100-240VAC - Ausgang 12VDC. </w:t>
      </w:r>
    </w:p>
    <w:p w14:paraId="071E9F43" w14:textId="77777777" w:rsidR="00D91C5B" w:rsidRPr="00D91C5B" w:rsidRDefault="00D91C5B" w:rsidP="00D91C5B">
      <w:pPr>
        <w:pStyle w:val="02Broodtekst"/>
        <w:spacing w:after="57"/>
        <w:ind w:left="170" w:hanging="170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Die Stromversorgung ist eine elektrisch geschaltete Sicherheitsversorgung IP64, die den international gültigen Sicherheitsvorschriften entspricht. Leistungsaufnahme im Stand-by &lt; 0,5 Watt.</w:t>
      </w:r>
    </w:p>
    <w:p w14:paraId="3CD071D5" w14:textId="77777777" w:rsidR="00D91C5B" w:rsidRPr="00D91C5B" w:rsidRDefault="00D91C5B" w:rsidP="00D91C5B">
      <w:pPr>
        <w:pStyle w:val="02Broodtekst"/>
        <w:spacing w:after="57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  <w:u w:val="thick"/>
        </w:rPr>
        <w:t>Lüfterschiene:</w:t>
      </w:r>
    </w:p>
    <w:p w14:paraId="23ABBD77" w14:textId="77777777" w:rsidR="00D91C5B" w:rsidRPr="00D91C5B" w:rsidRDefault="00D91C5B" w:rsidP="00D91C5B">
      <w:pPr>
        <w:pStyle w:val="02Broodtekst"/>
        <w:spacing w:after="57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Je nach Typ gibt es eine Lüfterschiene, aus 5 zu 16 besonders laufruhigen Axialventilatoren mit Schwingungsdämpfern eingefasst in ein Z-profil.</w:t>
      </w:r>
    </w:p>
    <w:p w14:paraId="0E9043D8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Fabrikat: Jaga.</w:t>
      </w:r>
    </w:p>
    <w:p w14:paraId="4F875F21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  <w:r w:rsidRPr="00D91C5B">
        <w:rPr>
          <w:rStyle w:val="ProximaNova8ptzwart"/>
          <w:rFonts w:asciiTheme="minorHAnsi" w:hAnsiTheme="minorHAnsi" w:cstheme="minorHAnsi"/>
        </w:rPr>
        <w:t>Modell: Clima Beam Promobe (Deckenmontage)</w:t>
      </w:r>
    </w:p>
    <w:p w14:paraId="54940CDE" w14:textId="77777777" w:rsidR="00D91C5B" w:rsidRPr="00D91C5B" w:rsidRDefault="00D91C5B" w:rsidP="00D91C5B">
      <w:pPr>
        <w:pStyle w:val="02Broodtekst"/>
        <w:rPr>
          <w:rStyle w:val="ProximaNova8ptzwart"/>
          <w:rFonts w:asciiTheme="minorHAnsi" w:hAnsiTheme="minorHAnsi" w:cstheme="minorHAnsi"/>
        </w:rPr>
      </w:pPr>
    </w:p>
    <w:p w14:paraId="3FE97AAE" w14:textId="77777777" w:rsidR="00D91C5B" w:rsidRPr="00D91C5B" w:rsidRDefault="00D91C5B" w:rsidP="00D91C5B">
      <w:pPr>
        <w:autoSpaceDE w:val="0"/>
        <w:autoSpaceDN w:val="0"/>
        <w:adjustRightInd w:val="0"/>
        <w:spacing w:after="57" w:line="220" w:lineRule="atLeast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u w:val="thick"/>
          <w:lang w:val="de-DE"/>
        </w:rPr>
        <w:t>Lieferumfang</w:t>
      </w: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:</w:t>
      </w:r>
    </w:p>
    <w:p w14:paraId="7B1429FE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Vormontiertes Kühl- und Heizgerät bestehend aus:</w:t>
      </w:r>
    </w:p>
    <w:p w14:paraId="4F9BEBBC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Low-H2O Wärmetauscher</w:t>
      </w:r>
    </w:p>
    <w:p w14:paraId="2BAF6BE2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Lüfterschiene 12VDC</w:t>
      </w:r>
    </w:p>
    <w:p w14:paraId="03CA75C0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Gestell mit Befestigungspunkten für direkte oder abgehängte Montage unter der Decke</w:t>
      </w:r>
    </w:p>
    <w:p w14:paraId="09140685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Notkondensatwanne</w:t>
      </w:r>
    </w:p>
    <w:p w14:paraId="604ABF88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Jaga Regelplatine „Dynamic Product Controller“ (JDPC)</w:t>
      </w:r>
    </w:p>
    <w:p w14:paraId="2EA2AC7C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12VDC Netzteil</w:t>
      </w:r>
    </w:p>
    <w:p w14:paraId="31BFCFFD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230 Volt-Verbindung (wasserdichte Stecker)</w:t>
      </w:r>
    </w:p>
    <w:p w14:paraId="269AE691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Verkleidung: perforiert mit rechteckigen Öffnungen (46 x 6 mm) / runden Öffnungen (4 mm) für den Luftein- und -austritt.</w:t>
      </w:r>
    </w:p>
    <w:p w14:paraId="1F8C115C" w14:textId="77777777" w:rsidR="00D91C5B" w:rsidRPr="00D91C5B" w:rsidRDefault="00D91C5B" w:rsidP="00D91C5B">
      <w:pPr>
        <w:autoSpaceDE w:val="0"/>
        <w:autoSpaceDN w:val="0"/>
        <w:adjustRightInd w:val="0"/>
        <w:spacing w:after="57" w:line="220" w:lineRule="atLeast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u w:val="thick"/>
          <w:lang w:val="de-DE"/>
        </w:rPr>
        <w:t>Optionen:</w:t>
      </w:r>
    </w:p>
    <w:p w14:paraId="5B82B13D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Jaga Thermostatventile</w:t>
      </w:r>
    </w:p>
    <w:p w14:paraId="3FD6618E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Rücklaufverschraubungen 1/2, 90°</w:t>
      </w:r>
    </w:p>
    <w:p w14:paraId="1E6949BF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Rücklaufverschraubungen 1/2, 180°</w:t>
      </w:r>
    </w:p>
    <w:p w14:paraId="483EF0F7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Flexibles edelstahlwellrohr 1/2“ - 1/2“</w:t>
      </w:r>
    </w:p>
    <w:p w14:paraId="31AEFFA2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Stellantriebe 24VDC / 0..10V Ansteuerung</w:t>
      </w:r>
    </w:p>
    <w:p w14:paraId="2191C3C5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Stellantriebe 24VDC / 230V</w:t>
      </w:r>
    </w:p>
    <w:p w14:paraId="70100ED7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Anschlusssätze 303</w:t>
      </w:r>
    </w:p>
    <w:p w14:paraId="331649BD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Anschlusssätze 304</w:t>
      </w:r>
    </w:p>
    <w:p w14:paraId="7917A668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Raumthermostat JRT 100 / JRT 100TW (wifi) / JRT 200 / JRT 300</w:t>
      </w:r>
    </w:p>
    <w:p w14:paraId="1B57E051" w14:textId="77777777" w:rsidR="00D91C5B" w:rsidRPr="00D91C5B" w:rsidRDefault="00D91C5B" w:rsidP="00D91C5B">
      <w:pPr>
        <w:autoSpaceDE w:val="0"/>
        <w:autoSpaceDN w:val="0"/>
        <w:adjustRightInd w:val="0"/>
        <w:spacing w:line="220" w:lineRule="atLeast"/>
        <w:ind w:left="170" w:hanging="170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lastRenderedPageBreak/>
        <w:t>Notkondensatwanne mit  Anschluss Ø20 mm für Kondensatablauf</w:t>
      </w:r>
    </w:p>
    <w:p w14:paraId="154532B5" w14:textId="77777777" w:rsidR="00D91C5B" w:rsidRPr="00D91C5B" w:rsidRDefault="00D91C5B" w:rsidP="00D91C5B">
      <w:pPr>
        <w:autoSpaceDE w:val="0"/>
        <w:autoSpaceDN w:val="0"/>
        <w:adjustRightInd w:val="0"/>
        <w:spacing w:after="57" w:line="220" w:lineRule="atLeast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u w:val="thick"/>
          <w:lang w:val="de-DE"/>
        </w:rPr>
        <w:t>Anwendung:</w:t>
      </w:r>
    </w:p>
    <w:p w14:paraId="1AB714D6" w14:textId="77777777" w:rsidR="00D91C5B" w:rsidRPr="00D91C5B" w:rsidRDefault="00D91C5B" w:rsidP="00D91C5B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Jaga Dynamic Clima Beams sind Gebläsekonvektoren zur Luftaufbereitung in Innenräumen.</w:t>
      </w:r>
    </w:p>
    <w:p w14:paraId="7CA7095D" w14:textId="77777777" w:rsidR="00D91C5B" w:rsidRPr="00D91C5B" w:rsidRDefault="00D91C5B" w:rsidP="00D91C5B">
      <w:pPr>
        <w:autoSpaceDE w:val="0"/>
        <w:autoSpaceDN w:val="0"/>
        <w:adjustRightInd w:val="0"/>
        <w:spacing w:after="57" w:line="220" w:lineRule="atLeast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u w:val="thick"/>
          <w:lang w:val="de-DE"/>
        </w:rPr>
        <w:t>Vorgesehene Einsatzbedingungen</w:t>
      </w: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:</w:t>
      </w:r>
    </w:p>
    <w:p w14:paraId="2F1F3AC2" w14:textId="77777777" w:rsidR="00D91C5B" w:rsidRPr="00D91C5B" w:rsidRDefault="00D91C5B" w:rsidP="00D91C5B">
      <w:pPr>
        <w:autoSpaceDE w:val="0"/>
        <w:autoSpaceDN w:val="0"/>
        <w:adjustRightInd w:val="0"/>
        <w:spacing w:after="28" w:line="288" w:lineRule="auto"/>
        <w:jc w:val="both"/>
        <w:textAlignment w:val="center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Die Einheit darf nicht in Feuchträumen installiert werden (Norm EN 60335-2-40).</w:t>
      </w:r>
    </w:p>
    <w:p w14:paraId="5C1DF59F" w14:textId="77777777" w:rsidR="00D91C5B" w:rsidRPr="00D91C5B" w:rsidRDefault="00D91C5B" w:rsidP="00D91C5B">
      <w:pPr>
        <w:autoSpaceDE w:val="0"/>
        <w:autoSpaceDN w:val="0"/>
        <w:adjustRightInd w:val="0"/>
        <w:spacing w:line="288" w:lineRule="auto"/>
        <w:ind w:left="170" w:hanging="170"/>
        <w:jc w:val="both"/>
        <w:textAlignment w:val="center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 xml:space="preserve">Das Gerät darf nur in Innenräumen des Wohnbereichs oder ähnlichen Bereichen installiert werden </w:t>
      </w:r>
    </w:p>
    <w:p w14:paraId="0464CA1A" w14:textId="77777777" w:rsidR="00D91C5B" w:rsidRPr="00D91C5B" w:rsidRDefault="00D91C5B" w:rsidP="00D91C5B">
      <w:pPr>
        <w:autoSpaceDE w:val="0"/>
        <w:autoSpaceDN w:val="0"/>
        <w:adjustRightInd w:val="0"/>
        <w:spacing w:after="57" w:line="288" w:lineRule="auto"/>
        <w:ind w:left="170" w:hanging="170"/>
        <w:jc w:val="both"/>
        <w:textAlignment w:val="center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>Keine spitzen Gegenstände durch das Gitter der Luftansaugung und des Luftauslasses einführen</w:t>
      </w:r>
    </w:p>
    <w:p w14:paraId="29AA0C28" w14:textId="77777777" w:rsidR="00D91C5B" w:rsidRPr="00D91C5B" w:rsidRDefault="00D91C5B" w:rsidP="00D91C5B">
      <w:pPr>
        <w:autoSpaceDE w:val="0"/>
        <w:autoSpaceDN w:val="0"/>
        <w:adjustRightInd w:val="0"/>
        <w:spacing w:after="57" w:line="220" w:lineRule="atLeast"/>
        <w:jc w:val="both"/>
        <w:textAlignment w:val="baseline"/>
        <w:rPr>
          <w:rFonts w:cstheme="minorHAnsi"/>
          <w:color w:val="000000"/>
          <w:kern w:val="0"/>
          <w:sz w:val="16"/>
          <w:szCs w:val="16"/>
          <w:lang w:val="de-DE"/>
        </w:rPr>
      </w:pPr>
      <w:r w:rsidRPr="00D91C5B">
        <w:rPr>
          <w:rFonts w:cstheme="minorHAnsi"/>
          <w:color w:val="000000"/>
          <w:kern w:val="0"/>
          <w:sz w:val="16"/>
          <w:szCs w:val="16"/>
          <w:u w:val="thick"/>
          <w:lang w:val="de-DE"/>
        </w:rPr>
        <w:t>Lagerbedingungen:</w:t>
      </w:r>
    </w:p>
    <w:p w14:paraId="7F47FE3B" w14:textId="4C1FA70F" w:rsidR="00D91C5B" w:rsidRPr="00D91C5B" w:rsidRDefault="00D91C5B" w:rsidP="00D91C5B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Style w:val="ProximaNova8ptzwart"/>
          <w:rFonts w:asciiTheme="minorHAnsi" w:hAnsiTheme="minorHAnsi" w:cstheme="minorHAnsi"/>
          <w:kern w:val="0"/>
        </w:rPr>
      </w:pPr>
      <w:r w:rsidRPr="00D91C5B">
        <w:rPr>
          <w:rFonts w:cstheme="minorHAnsi"/>
          <w:color w:val="000000"/>
          <w:kern w:val="0"/>
          <w:sz w:val="16"/>
          <w:szCs w:val="16"/>
          <w:lang w:val="de-DE"/>
        </w:rPr>
        <w:t xml:space="preserve">Die verpackten Geräte müssen an einem trockenen Ort gelagert werden. </w:t>
      </w:r>
    </w:p>
    <w:p w14:paraId="4ABF7050" w14:textId="77777777" w:rsidR="00D91C5B" w:rsidRPr="00D91C5B" w:rsidRDefault="00D91C5B" w:rsidP="00D91C5B">
      <w:pPr>
        <w:rPr>
          <w:rFonts w:cstheme="minorHAnsi"/>
          <w:sz w:val="16"/>
          <w:szCs w:val="16"/>
        </w:rPr>
      </w:pPr>
    </w:p>
    <w:sectPr w:rsidR="00D91C5B" w:rsidRPr="00D91C5B" w:rsidSect="00D91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5B"/>
    <w:rsid w:val="00134544"/>
    <w:rsid w:val="00456280"/>
    <w:rsid w:val="004A5956"/>
    <w:rsid w:val="00722BF0"/>
    <w:rsid w:val="009E4567"/>
    <w:rsid w:val="00BA7411"/>
    <w:rsid w:val="00D9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7982"/>
  <w15:chartTrackingRefBased/>
  <w15:docId w15:val="{813CA2D5-06AB-CD40-A15C-F74F1D39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2Broodtekst">
    <w:name w:val="02. Broodtekst"/>
    <w:basedOn w:val="Standard"/>
    <w:uiPriority w:val="99"/>
    <w:rsid w:val="00D91C5B"/>
    <w:pPr>
      <w:autoSpaceDE w:val="0"/>
      <w:autoSpaceDN w:val="0"/>
      <w:adjustRightInd w:val="0"/>
      <w:spacing w:line="220" w:lineRule="atLeast"/>
      <w:jc w:val="both"/>
      <w:textAlignment w:val="baseline"/>
    </w:pPr>
    <w:rPr>
      <w:rFonts w:ascii="Proxima Nova" w:hAnsi="Proxima Nova" w:cs="Proxima Nova"/>
      <w:color w:val="000000"/>
      <w:kern w:val="0"/>
      <w:sz w:val="18"/>
      <w:szCs w:val="18"/>
      <w:lang w:val="nl-NL"/>
    </w:rPr>
  </w:style>
  <w:style w:type="paragraph" w:customStyle="1" w:styleId="Normaal">
    <w:name w:val="Normaal"/>
    <w:basedOn w:val="Standard"/>
    <w:uiPriority w:val="99"/>
    <w:rsid w:val="00D91C5B"/>
    <w:pPr>
      <w:autoSpaceDE w:val="0"/>
      <w:autoSpaceDN w:val="0"/>
      <w:adjustRightInd w:val="0"/>
      <w:spacing w:line="289" w:lineRule="auto"/>
      <w:textAlignment w:val="baseline"/>
    </w:pPr>
    <w:rPr>
      <w:rFonts w:ascii="Proxima Nova" w:hAnsi="Proxima Nova" w:cs="Proxima Nova"/>
      <w:color w:val="000000"/>
      <w:kern w:val="0"/>
      <w:lang w:val="en-US"/>
    </w:rPr>
  </w:style>
  <w:style w:type="character" w:customStyle="1" w:styleId="ProximaNova8ptzwart">
    <w:name w:val="Proxima Nova 8 pt zwart"/>
    <w:uiPriority w:val="99"/>
    <w:rsid w:val="00D91C5B"/>
    <w:rPr>
      <w:rFonts w:ascii="Proxima Nova" w:hAnsi="Proxima Nova" w:cs="Proxima Nova"/>
      <w:color w:val="000000"/>
      <w:spacing w:val="0"/>
      <w:w w:val="100"/>
      <w:position w:val="0"/>
      <w:sz w:val="16"/>
      <w:szCs w:val="16"/>
      <w:vertAlign w:val="baseline"/>
      <w:lang w:val="de-DE"/>
    </w:rPr>
  </w:style>
  <w:style w:type="character" w:customStyle="1" w:styleId="ProximaNova10ptzwart">
    <w:name w:val="Proxima Nova10 pt zwart"/>
    <w:uiPriority w:val="99"/>
    <w:rsid w:val="00D91C5B"/>
    <w:rPr>
      <w:rFonts w:ascii="Proxima Nova" w:hAnsi="Proxima Nova" w:cs="Proxima Nova"/>
      <w:color w:val="000000"/>
      <w:spacing w:val="0"/>
      <w:sz w:val="20"/>
      <w:szCs w:val="20"/>
      <w:vertAlign w:val="baseline"/>
      <w:lang w:val="nl-NL"/>
    </w:rPr>
  </w:style>
  <w:style w:type="paragraph" w:customStyle="1" w:styleId="Geenalineastijl">
    <w:name w:val="[Geen alineastijl]"/>
    <w:rsid w:val="00D91C5B"/>
    <w:pPr>
      <w:autoSpaceDE w:val="0"/>
      <w:autoSpaceDN w:val="0"/>
      <w:adjustRightInd w:val="0"/>
      <w:spacing w:line="288" w:lineRule="auto"/>
      <w:textAlignment w:val="center"/>
    </w:pPr>
    <w:rPr>
      <w:rFonts w:ascii="Proxima Nova" w:hAnsi="Proxima Nova" w:cs="Proxima Nova"/>
      <w:color w:val="000000"/>
      <w:kern w:val="0"/>
      <w:lang w:val="nl-NL"/>
    </w:rPr>
  </w:style>
  <w:style w:type="paragraph" w:customStyle="1" w:styleId="Basisalinea">
    <w:name w:val="[Basisalinea]"/>
    <w:basedOn w:val="Geenalineastijl"/>
    <w:uiPriority w:val="99"/>
    <w:rsid w:val="00D9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Weerelds</dc:creator>
  <cp:keywords/>
  <dc:description/>
  <cp:lastModifiedBy>Stef Brebels</cp:lastModifiedBy>
  <cp:revision>2</cp:revision>
  <dcterms:created xsi:type="dcterms:W3CDTF">2024-06-07T11:58:00Z</dcterms:created>
  <dcterms:modified xsi:type="dcterms:W3CDTF">2024-06-07T11:58:00Z</dcterms:modified>
</cp:coreProperties>
</file>